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Toc25267897"/>
      <w:bookmarkStart w:id="11" w:name="_GoBack"/>
      <w:bookmarkEnd w:id="11"/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pacing w:line="720" w:lineRule="exact"/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北京中医药大学学科</w:t>
      </w:r>
      <w:r>
        <w:rPr>
          <w:rFonts w:ascii="黑体" w:hAnsi="黑体" w:eastAsia="黑体" w:cs="黑体"/>
          <w:b/>
          <w:bCs/>
          <w:sz w:val="44"/>
          <w:szCs w:val="44"/>
        </w:rPr>
        <w:t>信息化管理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平台</w:t>
      </w:r>
    </w:p>
    <w:p>
      <w:pPr>
        <w:spacing w:line="720" w:lineRule="exact"/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论文认领</w:t>
      </w:r>
      <w:r>
        <w:rPr>
          <w:rFonts w:ascii="黑体" w:hAnsi="黑体" w:eastAsia="黑体" w:cs="黑体"/>
          <w:b/>
          <w:bCs/>
          <w:sz w:val="44"/>
          <w:szCs w:val="44"/>
        </w:rPr>
        <w:t>系统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使用手册</w:t>
      </w:r>
    </w:p>
    <w:p>
      <w:pPr>
        <w:spacing w:line="720" w:lineRule="exact"/>
        <w:ind w:firstLine="0" w:firstLineChars="0"/>
        <w:jc w:val="center"/>
        <w:rPr>
          <w:rFonts w:ascii="黑体" w:hAnsi="黑体" w:eastAsia="黑体" w:cs="黑体"/>
          <w:bCs/>
          <w:sz w:val="36"/>
          <w:szCs w:val="44"/>
        </w:rPr>
      </w:pPr>
      <w:r>
        <w:rPr>
          <w:rFonts w:hint="eastAsia" w:ascii="黑体" w:hAnsi="黑体" w:eastAsia="黑体" w:cs="黑体"/>
          <w:bCs/>
          <w:sz w:val="36"/>
          <w:szCs w:val="44"/>
        </w:rPr>
        <w:t>（用户端）</w:t>
      </w:r>
    </w:p>
    <w:p>
      <w:pPr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088" w:right="992" w:bottom="1088" w:left="992" w:header="624" w:footer="510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</w:pPr>
      <w:r>
        <w:t>1.</w:t>
      </w:r>
      <w:r>
        <w:rPr>
          <w:rFonts w:hint="eastAsia"/>
        </w:rPr>
        <w:t>登录与退出</w:t>
      </w:r>
      <w:bookmarkEnd w:id="0"/>
    </w:p>
    <w:p>
      <w:pPr>
        <w:ind w:firstLine="482"/>
        <w:rPr>
          <w:rFonts w:ascii="宋体" w:hAnsi="宋体" w:cs="宋体"/>
          <w:szCs w:val="24"/>
        </w:rPr>
      </w:pPr>
      <w:r>
        <w:rPr>
          <w:rFonts w:hint="eastAsia"/>
          <w:b/>
        </w:rPr>
        <w:t>登录网址：</w:t>
      </w:r>
      <w:r>
        <w:rPr>
          <w:rFonts w:ascii="宋体" w:hAnsi="宋体" w:cs="宋体"/>
          <w:szCs w:val="24"/>
        </w:rPr>
        <w:t>http://xkrl.bucm.edu.cn</w:t>
      </w:r>
    </w:p>
    <w:p>
      <w:pPr>
        <w:ind w:firstLine="482"/>
      </w:pPr>
      <w:r>
        <w:rPr>
          <w:rFonts w:hint="eastAsia"/>
          <w:b/>
        </w:rPr>
        <w:t xml:space="preserve">账  </w:t>
      </w:r>
      <w:r>
        <w:rPr>
          <w:b/>
        </w:rPr>
        <w:t xml:space="preserve"> </w:t>
      </w:r>
      <w:r>
        <w:rPr>
          <w:rFonts w:hint="eastAsia"/>
          <w:b/>
        </w:rPr>
        <w:t xml:space="preserve"> 号：</w:t>
      </w:r>
      <w:r>
        <w:rPr>
          <w:rFonts w:hint="eastAsia"/>
        </w:rPr>
        <w:t>教师工号</w:t>
      </w:r>
    </w:p>
    <w:p>
      <w:pPr>
        <w:ind w:firstLine="482"/>
        <w:rPr>
          <w:b/>
        </w:rPr>
      </w:pPr>
      <w:r>
        <w:rPr>
          <w:rFonts w:hint="eastAsia"/>
          <w:b/>
        </w:rPr>
        <w:t>密    码：</w:t>
      </w:r>
      <w:r>
        <w:rPr>
          <w:rFonts w:hint="eastAsia"/>
        </w:rPr>
        <w:t>默认为“</w:t>
      </w:r>
      <w:r>
        <w:t>Bucm@2021</w:t>
      </w:r>
      <w:r>
        <w:rPr>
          <w:rFonts w:hint="eastAsia"/>
        </w:rPr>
        <w:t>”</w:t>
      </w:r>
    </w:p>
    <w:p>
      <w:pPr>
        <w:ind w:firstLine="482"/>
      </w:pPr>
      <w:r>
        <w:rPr>
          <w:rFonts w:hint="eastAsia"/>
          <w:b/>
        </w:rPr>
        <w:t>密码</w:t>
      </w:r>
      <w:r>
        <w:rPr>
          <w:b/>
        </w:rPr>
        <w:t>修改：</w:t>
      </w:r>
      <w:r>
        <w:rPr>
          <w:rFonts w:hint="eastAsia"/>
        </w:rPr>
        <w:t>点击界面右上角姓名，展示下拉菜单，点击</w:t>
      </w:r>
      <w:r>
        <w:t>“</w:t>
      </w:r>
      <w:r>
        <w:rPr>
          <w:rFonts w:hint="eastAsia"/>
        </w:rPr>
        <w:t>修改密码</w:t>
      </w:r>
      <w:r>
        <w:t>”</w:t>
      </w:r>
      <w:r>
        <w:rPr>
          <w:rFonts w:hint="eastAsia"/>
        </w:rPr>
        <w:t>对</w:t>
      </w:r>
      <w:r>
        <w:t>密码进行修改。</w:t>
      </w:r>
    </w:p>
    <w:p>
      <w:pPr>
        <w:ind w:firstLine="0" w:firstLineChars="0"/>
      </w:pPr>
      <w:r>
        <w:drawing>
          <wp:inline distT="0" distB="0" distL="114300" distR="114300">
            <wp:extent cx="6289675" cy="2204085"/>
            <wp:effectExtent l="0" t="0" r="15875" b="571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rcRect t="15671"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</w:pPr>
      <w:r>
        <w:rPr>
          <w:rFonts w:hint="eastAsia"/>
          <w:sz w:val="24"/>
        </w:rPr>
        <w:t>登录界面</w:t>
      </w:r>
    </w:p>
    <w:p>
      <w:pPr>
        <w:ind w:firstLine="480"/>
      </w:pPr>
      <w:r>
        <w:rPr>
          <w:rFonts w:hint="eastAsia"/>
        </w:rPr>
        <w:t>进入系统后，页面正上方弹出“北京中医药大学论文认领平台系统使用说明”，请仔细阅读后勾选“我已阅读该声明，并同意这些条款”并点击“同意”按钮，进入平台使用过程。</w:t>
      </w:r>
    </w:p>
    <w:p>
      <w:pPr>
        <w:ind w:firstLine="480"/>
      </w:pPr>
      <w:r>
        <w:rPr>
          <w:rFonts w:hint="eastAsia"/>
        </w:rPr>
        <w:t>使用</w:t>
      </w:r>
      <w:r>
        <w:t>完毕，</w:t>
      </w:r>
      <w:r>
        <w:rPr>
          <w:rFonts w:hint="eastAsia"/>
        </w:rPr>
        <w:t>点击界面右上角的姓名，展示下拉菜单，即可退出该平台。</w:t>
      </w:r>
    </w:p>
    <w:p>
      <w:pPr>
        <w:pStyle w:val="3"/>
      </w:pPr>
      <w:bookmarkStart w:id="1" w:name="_Toc16819"/>
      <w:bookmarkStart w:id="2" w:name="_Toc535843673"/>
      <w:bookmarkStart w:id="3" w:name="_Toc25303"/>
      <w:bookmarkStart w:id="4" w:name="_Toc31691"/>
      <w:bookmarkStart w:id="5" w:name="_Toc31526"/>
      <w:bookmarkStart w:id="6" w:name="_Toc25267898"/>
      <w:r>
        <w:t>2</w:t>
      </w:r>
      <w:r>
        <w:rPr>
          <w:rFonts w:hint="eastAsia"/>
        </w:rPr>
        <w:t>.</w:t>
      </w:r>
      <w:bookmarkEnd w:id="1"/>
      <w:bookmarkEnd w:id="2"/>
      <w:bookmarkEnd w:id="3"/>
      <w:bookmarkEnd w:id="4"/>
      <w:bookmarkEnd w:id="5"/>
      <w:r>
        <w:rPr>
          <w:rFonts w:hint="eastAsia"/>
        </w:rPr>
        <w:t>认领</w:t>
      </w:r>
      <w:bookmarkEnd w:id="6"/>
      <w:r>
        <w:rPr>
          <w:rFonts w:hint="eastAsia"/>
        </w:rPr>
        <w:t>论文</w:t>
      </w:r>
    </w:p>
    <w:p>
      <w:pPr>
        <w:pStyle w:val="4"/>
      </w:pPr>
      <w:r>
        <w:t>2.1</w:t>
      </w:r>
      <w:r>
        <w:rPr>
          <w:rFonts w:hint="eastAsia"/>
        </w:rPr>
        <w:t xml:space="preserve"> 认领</w:t>
      </w:r>
      <w:r>
        <w:t>成果</w:t>
      </w:r>
    </w:p>
    <w:p>
      <w:pPr>
        <w:ind w:firstLine="480"/>
      </w:pPr>
      <w:r>
        <w:t>老师可在待认领列表下进行</w:t>
      </w:r>
      <w:r>
        <w:rPr>
          <w:b/>
        </w:rPr>
        <w:t>论文认领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ind w:left="0" w:firstLine="0" w:firstLineChars="0"/>
      </w:pPr>
      <w:r>
        <w:rPr>
          <w:rFonts w:hint="eastAsia"/>
          <w:b/>
          <w:color w:val="FF0000"/>
        </w:rPr>
        <w:t>论文认领：</w:t>
      </w:r>
      <w:r>
        <w:rPr>
          <w:rFonts w:hint="eastAsia"/>
          <w:color w:val="FF0000"/>
        </w:rPr>
        <w:t>点击“认领”按钮，显示“提交成功”。</w:t>
      </w:r>
    </w:p>
    <w:p>
      <w:pPr>
        <w:ind w:firstLine="0" w:firstLineChars="0"/>
      </w:pPr>
      <w:r>
        <w:drawing>
          <wp:inline distT="0" distB="0" distL="114300" distR="114300">
            <wp:extent cx="6297295" cy="182118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rcRect t="8432" b="10961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论文认领详情</w:t>
      </w:r>
    </w:p>
    <w:p>
      <w:pPr>
        <w:numPr>
          <w:ilvl w:val="0"/>
          <w:numId w:val="1"/>
        </w:numPr>
        <w:ind w:left="0" w:firstLine="0" w:firstLineChars="0"/>
        <w:rPr>
          <w:color w:val="FF0000"/>
        </w:rPr>
      </w:pPr>
      <w:r>
        <w:rPr>
          <w:rFonts w:hint="eastAsia"/>
          <w:b/>
          <w:color w:val="FF0000"/>
        </w:rPr>
        <w:t>批量认领：</w:t>
      </w:r>
      <w:r>
        <w:rPr>
          <w:rFonts w:hint="eastAsia"/>
          <w:color w:val="FF0000"/>
        </w:rPr>
        <w:t>点击“全选”，可全选当前页的所有成果，或是勾选每条论文序号前的勾选框，进行选中操作。点击“清除”，可清楚勾选结果。勾选需要认领的成果后，点击“批量认领”，可以进行批量认领操作。</w:t>
      </w:r>
    </w:p>
    <w:p>
      <w:pPr>
        <w:numPr>
          <w:ilvl w:val="0"/>
          <w:numId w:val="1"/>
        </w:numPr>
        <w:ind w:left="0" w:firstLine="0" w:firstLineChars="0"/>
      </w:pPr>
      <w:r>
        <w:rPr>
          <w:rFonts w:hint="eastAsia"/>
          <w:b/>
        </w:rPr>
        <w:t>排序：</w:t>
      </w:r>
      <w:r>
        <w:rPr>
          <w:rFonts w:hint="eastAsia"/>
        </w:rPr>
        <w:t>支持按时间升序、按时间降序、被引频次升序、被引频次降序排序，默认时间降序。</w:t>
      </w:r>
    </w:p>
    <w:p>
      <w:pPr>
        <w:numPr>
          <w:ilvl w:val="0"/>
          <w:numId w:val="1"/>
        </w:numPr>
        <w:ind w:left="0" w:firstLine="0" w:firstLineChars="0"/>
      </w:pPr>
      <w:r>
        <w:rPr>
          <w:rFonts w:hint="eastAsia"/>
          <w:b/>
        </w:rPr>
        <w:t>筛选：</w:t>
      </w:r>
      <w:r>
        <w:rPr>
          <w:rFonts w:hint="eastAsia"/>
        </w:rPr>
        <w:t>右侧筛选条件，支持收拢和展开效果，点击筛选条件，可以快速筛选出符合条件的成果。</w:t>
      </w:r>
    </w:p>
    <w:p>
      <w:pPr>
        <w:numPr>
          <w:ilvl w:val="0"/>
          <w:numId w:val="1"/>
        </w:numPr>
        <w:ind w:left="0" w:firstLine="0" w:firstLineChars="0"/>
      </w:pPr>
      <w:r>
        <w:rPr>
          <w:rFonts w:hint="eastAsia"/>
          <w:b/>
          <w:color w:val="FF0000"/>
        </w:rPr>
        <w:t>剔除</w:t>
      </w:r>
      <w:r>
        <w:rPr>
          <w:rFonts w:hint="eastAsia"/>
          <w:color w:val="FF0000"/>
        </w:rPr>
        <w:t>：每条论文均提供剔除按钮，支持剔除非本人成果或重复成果。</w:t>
      </w:r>
    </w:p>
    <w:p>
      <w:pPr>
        <w:numPr>
          <w:ilvl w:val="0"/>
          <w:numId w:val="1"/>
        </w:numPr>
        <w:ind w:left="0" w:firstLine="0" w:firstLineChars="0"/>
      </w:pPr>
      <w:r>
        <w:rPr>
          <w:rFonts w:hint="eastAsia"/>
          <w:b/>
        </w:rPr>
        <w:t>待认领检索：</w:t>
      </w:r>
      <w:r>
        <w:rPr>
          <w:rFonts w:hint="eastAsia"/>
        </w:rPr>
        <w:t>对待认领列表（系统推送的本人成果）中的成果检索，支持输入任意词检索，检索结果在列表中展示。</w:t>
      </w:r>
    </w:p>
    <w:p>
      <w:pPr>
        <w:pStyle w:val="4"/>
      </w:pPr>
      <w:r>
        <w:t>2.2</w:t>
      </w:r>
      <w:r>
        <w:rPr>
          <w:rFonts w:hint="eastAsia"/>
        </w:rPr>
        <w:t xml:space="preserve"> 检索获取</w:t>
      </w:r>
    </w:p>
    <w:p>
      <w:pPr>
        <w:ind w:firstLine="480"/>
      </w:pPr>
      <w:r>
        <w:t>如果待认领列表中有没有推送的论文</w:t>
      </w:r>
      <w:r>
        <w:rPr>
          <w:rFonts w:hint="eastAsia"/>
        </w:rPr>
        <w:t>，老师可通过检索获取，可使用</w:t>
      </w:r>
      <w:r>
        <w:rPr>
          <w:rFonts w:hint="eastAsia"/>
          <w:b/>
          <w:bCs/>
        </w:rPr>
        <w:t>全库检索</w:t>
      </w:r>
      <w:r>
        <w:rPr>
          <w:rFonts w:hint="eastAsia"/>
        </w:rPr>
        <w:t>。</w:t>
      </w:r>
    </w:p>
    <w:p>
      <w:pPr>
        <w:pStyle w:val="11"/>
        <w:ind w:firstLine="0" w:firstLineChars="0"/>
        <w:jc w:val="both"/>
      </w:pPr>
      <w:r>
        <w:drawing>
          <wp:inline distT="0" distB="0" distL="114300" distR="114300">
            <wp:extent cx="6295390" cy="1809750"/>
            <wp:effectExtent l="0" t="0" r="1016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全库检索</w:t>
      </w:r>
    </w:p>
    <w:p>
      <w:pPr>
        <w:numPr>
          <w:ilvl w:val="0"/>
          <w:numId w:val="2"/>
        </w:numPr>
        <w:ind w:left="0" w:firstLine="0" w:firstLineChars="0"/>
      </w:pPr>
      <w:r>
        <w:rPr>
          <w:rFonts w:hint="eastAsia"/>
          <w:b/>
        </w:rPr>
        <w:t>全库检索：</w:t>
      </w:r>
      <w:r>
        <w:rPr>
          <w:rFonts w:hint="eastAsia"/>
        </w:rPr>
        <w:t>是对系统中所有北京中医药大学的论文检索。点击“全库检索”按钮，可输入作者姓名、标题、出版物名称、关键词和发表时间，进行检索认领。</w:t>
      </w:r>
    </w:p>
    <w:p>
      <w:pPr>
        <w:pStyle w:val="4"/>
      </w:pPr>
      <w:r>
        <w:rPr>
          <w:rFonts w:hint="eastAsia"/>
        </w:rPr>
        <w:t>2.3 我的剔除</w:t>
      </w:r>
    </w:p>
    <w:p>
      <w:pPr>
        <w:ind w:firstLine="480"/>
      </w:pPr>
      <w:r>
        <w:rPr>
          <w:rFonts w:hint="eastAsia"/>
        </w:rPr>
        <w:t>点击“剔除”按钮，显示“剔除成功”，数据进入“我的剔除”。剔除的成果可再次进行认领。</w:t>
      </w:r>
    </w:p>
    <w:p>
      <w:pPr>
        <w:ind w:firstLine="0" w:firstLineChars="0"/>
      </w:pPr>
      <w:r>
        <w:drawing>
          <wp:inline distT="0" distB="0" distL="114300" distR="114300">
            <wp:extent cx="6295390" cy="3215640"/>
            <wp:effectExtent l="0" t="0" r="10160" b="381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我的剔除</w:t>
      </w:r>
    </w:p>
    <w:p>
      <w:pPr>
        <w:pStyle w:val="3"/>
      </w:pPr>
      <w:bookmarkStart w:id="7" w:name="_Toc25267899"/>
      <w:r>
        <w:t>3.</w:t>
      </w:r>
      <w:r>
        <w:rPr>
          <w:rFonts w:hint="eastAsia"/>
        </w:rPr>
        <w:t>补充成果</w:t>
      </w:r>
      <w:bookmarkEnd w:id="7"/>
    </w:p>
    <w:p>
      <w:pPr>
        <w:ind w:firstLine="480"/>
      </w:pPr>
      <w:r>
        <w:rPr>
          <w:rFonts w:hint="eastAsia"/>
        </w:rPr>
        <w:t>当系统中成果没有更新时，在待认领成果和全库检索中都检索不到成果时，可从此模块进行补充成果进行成果认领。主要</w:t>
      </w:r>
      <w:r>
        <w:rPr>
          <w:rFonts w:hint="eastAsia"/>
          <w:b/>
        </w:rPr>
        <w:t>包括检索补充和填报补充</w:t>
      </w:r>
      <w:r>
        <w:rPr>
          <w:rFonts w:hint="eastAsia"/>
        </w:rPr>
        <w:t>。</w:t>
      </w:r>
    </w:p>
    <w:p>
      <w:pPr>
        <w:pStyle w:val="4"/>
      </w:pPr>
      <w:bookmarkStart w:id="8" w:name="_Toc535843677"/>
      <w:bookmarkStart w:id="9" w:name="_Toc26038"/>
      <w:r>
        <w:t>3</w:t>
      </w:r>
      <w:r>
        <w:rPr>
          <w:rFonts w:hint="eastAsia"/>
        </w:rPr>
        <w:t>.1</w:t>
      </w:r>
      <w:bookmarkEnd w:id="8"/>
      <w:bookmarkEnd w:id="9"/>
      <w:r>
        <w:rPr>
          <w:rFonts w:hint="eastAsia"/>
        </w:rPr>
        <w:t xml:space="preserve"> 检索补充</w:t>
      </w:r>
    </w:p>
    <w:p>
      <w:pPr>
        <w:numPr>
          <w:ilvl w:val="0"/>
          <w:numId w:val="3"/>
        </w:numPr>
        <w:ind w:left="0" w:firstLine="0" w:firstLineChars="0"/>
      </w:pPr>
      <w:r>
        <w:rPr>
          <w:rFonts w:hint="eastAsia"/>
        </w:rPr>
        <w:t>选择数据来源，数据来源为必填项，支持CSSCI、万方、知网、CSCD、EI、A&amp;HCI、SSCI、SCIE、维普来源的成果补充</w:t>
      </w:r>
    </w:p>
    <w:p>
      <w:pPr>
        <w:numPr>
          <w:ilvl w:val="0"/>
          <w:numId w:val="3"/>
        </w:numPr>
        <w:ind w:left="0" w:firstLine="0" w:firstLineChars="0"/>
      </w:pPr>
      <w:r>
        <w:rPr>
          <w:rFonts w:hint="eastAsia"/>
        </w:rPr>
        <w:t>支持输入成果标题、DOI号、出版物、年份来检索成果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6297930" cy="2888615"/>
            <wp:effectExtent l="0" t="0" r="7620" b="698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检索补充</w:t>
      </w:r>
    </w:p>
    <w:p>
      <w:pPr>
        <w:numPr>
          <w:ilvl w:val="0"/>
          <w:numId w:val="3"/>
        </w:numPr>
        <w:ind w:left="0" w:firstLine="0" w:firstLineChars="0"/>
      </w:pPr>
      <w:r>
        <w:rPr>
          <w:rFonts w:hint="eastAsia"/>
        </w:rPr>
        <w:t>填写页面上需要查询的信息，点击“提交”，显示“提交成功”，可切换至“补充成果记录”进行查看查询结果。</w:t>
      </w:r>
    </w:p>
    <w:p>
      <w:pPr>
        <w:ind w:firstLine="0" w:firstLineChars="0"/>
      </w:pPr>
      <w:r>
        <w:drawing>
          <wp:inline distT="0" distB="0" distL="114300" distR="114300">
            <wp:extent cx="6298565" cy="2619375"/>
            <wp:effectExtent l="0" t="0" r="6985" b="952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补充成果记录</w:t>
      </w:r>
    </w:p>
    <w:p>
      <w:pPr>
        <w:pStyle w:val="4"/>
      </w:pPr>
      <w:r>
        <w:t>3</w:t>
      </w:r>
      <w:r>
        <w:rPr>
          <w:rFonts w:hint="eastAsia"/>
        </w:rPr>
        <w:t>.2 缺失成果上报</w:t>
      </w:r>
    </w:p>
    <w:p>
      <w:pPr>
        <w:ind w:firstLine="480"/>
      </w:pPr>
      <w:r>
        <w:rPr>
          <w:rFonts w:hint="eastAsia"/>
        </w:rPr>
        <w:t>点击“下载成果上报模板”，下载数据模板，可以将需要补充的数据填写在表格中，并点击“导入成果上报文件”，确认无误后，点击“提交”进行上传。</w:t>
      </w:r>
    </w:p>
    <w:p>
      <w:pPr>
        <w:ind w:firstLine="0" w:firstLineChars="0"/>
      </w:pPr>
      <w:r>
        <w:drawing>
          <wp:inline distT="0" distB="0" distL="114300" distR="114300">
            <wp:extent cx="6296660" cy="2320290"/>
            <wp:effectExtent l="0" t="0" r="8890" b="381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缺失成果上报</w:t>
      </w:r>
    </w:p>
    <w:p>
      <w:pPr>
        <w:pStyle w:val="3"/>
      </w:pPr>
      <w:bookmarkStart w:id="10" w:name="_Toc25267900"/>
      <w:r>
        <w:t>4.</w:t>
      </w:r>
      <w:r>
        <w:rPr>
          <w:rFonts w:hint="eastAsia"/>
        </w:rPr>
        <w:t>已认领成果</w:t>
      </w:r>
      <w:bookmarkEnd w:id="10"/>
    </w:p>
    <w:p>
      <w:pPr>
        <w:ind w:firstLine="480"/>
      </w:pPr>
      <w:r>
        <w:rPr>
          <w:rFonts w:hint="eastAsia"/>
        </w:rPr>
        <w:t>默认显示审核中的成果。支持根据审核状态查看不同状态下的成果。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6291580" cy="3304540"/>
            <wp:effectExtent l="0" t="0" r="13970" b="1016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已认领成果</w:t>
      </w:r>
    </w:p>
    <w:p>
      <w:pPr>
        <w:ind w:firstLine="480"/>
      </w:pPr>
      <w:r>
        <w:rPr>
          <w:rFonts w:hint="eastAsia"/>
        </w:rPr>
        <w:t>各个状态下的操作说明：</w:t>
      </w:r>
    </w:p>
    <w:p>
      <w:pPr>
        <w:numPr>
          <w:ilvl w:val="0"/>
          <w:numId w:val="4"/>
        </w:numPr>
        <w:ind w:left="0" w:firstLine="0" w:firstLineChars="0"/>
      </w:pPr>
      <w:r>
        <w:rPr>
          <w:rFonts w:hint="eastAsia"/>
        </w:rPr>
        <w:t>审核中状态：支持错误认领，将数据剔除到“我的剔除”。</w:t>
      </w:r>
    </w:p>
    <w:p>
      <w:pPr>
        <w:numPr>
          <w:ilvl w:val="0"/>
          <w:numId w:val="4"/>
        </w:numPr>
        <w:ind w:left="0" w:firstLine="0" w:firstLineChars="0"/>
      </w:pPr>
      <w:r>
        <w:rPr>
          <w:rFonts w:hint="eastAsia"/>
        </w:rPr>
        <w:t>复审通过、审核通过状态：可以查看被审核通过后的信息，点击标题进入详情页，不支持再次提交审核。</w:t>
      </w:r>
    </w:p>
    <w:p>
      <w:pPr>
        <w:numPr>
          <w:ilvl w:val="0"/>
          <w:numId w:val="4"/>
        </w:numPr>
        <w:ind w:left="0" w:firstLine="0" w:firstLineChars="0"/>
      </w:pPr>
      <w:r>
        <w:rPr>
          <w:rFonts w:hint="eastAsia"/>
        </w:rPr>
        <w:t>审核驳回状态：可查看驳回原因，但不能再次进行认领</w:t>
      </w:r>
      <w:r>
        <w:t xml:space="preserve"> </w:t>
      </w:r>
      <w:r>
        <w:rPr>
          <w:rFonts w:hint="eastAsia"/>
        </w:rPr>
        <w:t>。</w:t>
      </w:r>
    </w:p>
    <w:sectPr>
      <w:footerReference r:id="rId11" w:type="default"/>
      <w:pgSz w:w="11906" w:h="16838"/>
      <w:pgMar w:top="1088" w:right="992" w:bottom="1088" w:left="992" w:header="624" w:footer="51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double" w:color="auto" w:sz="8" w:space="1"/>
      </w:pBdr>
      <w:ind w:firstLine="0" w:firstLineChars="0"/>
      <w:jc w:val="left"/>
    </w:pPr>
    <w:r>
      <w:rPr>
        <w:rFonts w:hint="eastAsia"/>
      </w:rPr>
      <w:t>北京中医药大学</w:t>
    </w:r>
    <w:r>
      <w:t>学科信息化管理平台</w:t>
    </w:r>
    <w:r>
      <w:rPr>
        <w:rFonts w:hint="eastAsia"/>
      </w:rPr>
      <w:t>论文认领系统使用</w:t>
    </w:r>
    <w:r>
      <w:t>手册</w:t>
    </w:r>
    <w:r>
      <w:rPr>
        <w:rFonts w:hint="eastAsia"/>
      </w:rPr>
      <w:t xml:space="preserve">                   </w:t>
    </w:r>
    <w:r>
      <w:t xml:space="preserve">   </w:t>
    </w:r>
    <w:r>
      <w:rPr>
        <w:rFonts w:hint="eastAsia"/>
      </w:rPr>
      <w:t xml:space="preserve">              </w:t>
    </w:r>
    <w:r>
      <w:t xml:space="preserve">     </w:t>
    </w:r>
    <w:r>
      <w:rPr>
        <w:rFonts w:hint="eastAsia"/>
      </w:rPr>
      <w:t xml:space="preserve">    2020年6月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abstractNum w:abstractNumId="0">
    <w:nsid w:val="266F2CDA"/>
    <w:multiLevelType w:val="multilevel"/>
    <w:tmpl w:val="266F2CDA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98A7A3D"/>
    <w:multiLevelType w:val="multilevel"/>
    <w:tmpl w:val="498A7A3D"/>
    <w:lvl w:ilvl="0" w:tentative="0">
      <w:start w:val="1"/>
      <w:numFmt w:val="bullet"/>
      <w:lvlText w:val=""/>
      <w:lvlPicBulletId w:val="3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49C664A4"/>
    <w:multiLevelType w:val="multilevel"/>
    <w:tmpl w:val="49C664A4"/>
    <w:lvl w:ilvl="0" w:tentative="0">
      <w:start w:val="1"/>
      <w:numFmt w:val="bullet"/>
      <w:lvlText w:val=""/>
      <w:lvlPicBulletId w:val="2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53D2DF8"/>
    <w:multiLevelType w:val="multilevel"/>
    <w:tmpl w:val="653D2DF8"/>
    <w:lvl w:ilvl="0" w:tentative="0">
      <w:start w:val="1"/>
      <w:numFmt w:val="bullet"/>
      <w:lvlText w:val=""/>
      <w:lvlPicBulletId w:val="0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3"/>
    <w:rsid w:val="001A62E4"/>
    <w:rsid w:val="001A7E0B"/>
    <w:rsid w:val="001E347A"/>
    <w:rsid w:val="003211B9"/>
    <w:rsid w:val="003C522C"/>
    <w:rsid w:val="00462E94"/>
    <w:rsid w:val="00476A9D"/>
    <w:rsid w:val="00645276"/>
    <w:rsid w:val="007E70A0"/>
    <w:rsid w:val="008C5A7D"/>
    <w:rsid w:val="008E7029"/>
    <w:rsid w:val="00900C0D"/>
    <w:rsid w:val="00917300"/>
    <w:rsid w:val="00A25B64"/>
    <w:rsid w:val="00A37053"/>
    <w:rsid w:val="00B253F8"/>
    <w:rsid w:val="00C95F4F"/>
    <w:rsid w:val="00D0300B"/>
    <w:rsid w:val="00D21CDA"/>
    <w:rsid w:val="00F54F9E"/>
    <w:rsid w:val="04756EC2"/>
    <w:rsid w:val="116A5F14"/>
    <w:rsid w:val="12546AD5"/>
    <w:rsid w:val="28A40E9A"/>
    <w:rsid w:val="2A7838BF"/>
    <w:rsid w:val="2F8A67BA"/>
    <w:rsid w:val="310109A1"/>
    <w:rsid w:val="32845DB6"/>
    <w:rsid w:val="34F54F10"/>
    <w:rsid w:val="35DB2B93"/>
    <w:rsid w:val="38863CF7"/>
    <w:rsid w:val="3E5E60F7"/>
    <w:rsid w:val="40346C3D"/>
    <w:rsid w:val="43ED1296"/>
    <w:rsid w:val="4BAA1B8B"/>
    <w:rsid w:val="4CE014EC"/>
    <w:rsid w:val="4E4F45CD"/>
    <w:rsid w:val="4F787BCB"/>
    <w:rsid w:val="52400F14"/>
    <w:rsid w:val="54F81F55"/>
    <w:rsid w:val="57491D55"/>
    <w:rsid w:val="57BC4B68"/>
    <w:rsid w:val="5ABF3FBB"/>
    <w:rsid w:val="5ACD0F37"/>
    <w:rsid w:val="5BE81BBD"/>
    <w:rsid w:val="5EBF63A8"/>
    <w:rsid w:val="5EFB6F87"/>
    <w:rsid w:val="5F6A4979"/>
    <w:rsid w:val="60672FB0"/>
    <w:rsid w:val="633E120A"/>
    <w:rsid w:val="63853984"/>
    <w:rsid w:val="63E41158"/>
    <w:rsid w:val="69144A37"/>
    <w:rsid w:val="71337207"/>
    <w:rsid w:val="723353AE"/>
    <w:rsid w:val="726616FB"/>
    <w:rsid w:val="7BE019A1"/>
    <w:rsid w:val="7F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041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ind w:firstLine="0" w:firstLineChars="0"/>
      <w:jc w:val="lef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图片"/>
    <w:basedOn w:val="1"/>
    <w:qFormat/>
    <w:uiPriority w:val="0"/>
    <w:pPr>
      <w:jc w:val="center"/>
    </w:pPr>
    <w:rPr>
      <w:rFonts w:eastAsia="楷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4" Type="http://schemas.openxmlformats.org/officeDocument/2006/relationships/image" Target="media/image12.png"/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1081</Characters>
  <Lines>9</Lines>
  <Paragraphs>2</Paragraphs>
  <TotalTime>20</TotalTime>
  <ScaleCrop>false</ScaleCrop>
  <LinksUpToDate>false</LinksUpToDate>
  <CharactersWithSpaces>1268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向日葵</cp:lastModifiedBy>
  <dcterms:modified xsi:type="dcterms:W3CDTF">2021-12-13T08:28:50Z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949469D6F6484C2995030475BFF00D8F</vt:lpwstr>
  </property>
</Properties>
</file>